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Look w:val="0000" w:firstRow="0" w:lastRow="0" w:firstColumn="0" w:lastColumn="0" w:noHBand="0" w:noVBand="0"/>
      </w:tblPr>
      <w:tblGrid>
        <w:gridCol w:w="9016"/>
      </w:tblGrid>
      <w:tr w:rsidR="00B50408" w:rsidRPr="005153D0" w14:paraId="62A5705B" w14:textId="77777777" w:rsidTr="009E71D4">
        <w:trPr>
          <w:trHeight w:val="370"/>
        </w:trPr>
        <w:tc>
          <w:tcPr>
            <w:tcW w:w="5000" w:type="pct"/>
            <w:shd w:val="clear" w:color="auto" w:fill="B4C6E7" w:themeFill="accent1" w:themeFillTint="66"/>
          </w:tcPr>
          <w:p w14:paraId="631E10D6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2019 </w:t>
            </w:r>
            <w:r w:rsidRPr="00DE6768">
              <w:rPr>
                <w:rFonts w:asciiTheme="minorHAnsi" w:hAnsiTheme="minorHAnsi" w:cstheme="minorHAnsi"/>
              </w:rPr>
              <w:t xml:space="preserve">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LISTING RELATING TO THE PERIOD </w:t>
            </w:r>
            <w:r>
              <w:rPr>
                <w:rFonts w:asciiTheme="minorHAnsi" w:hAnsiTheme="minorHAnsi" w:cstheme="minorHAnsi"/>
              </w:rPr>
              <w:t>1</w:t>
            </w:r>
            <w:r w:rsidRPr="00382D7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January 2019</w:t>
            </w:r>
            <w:r w:rsidRPr="00DE6768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31</w:t>
            </w:r>
            <w:r w:rsidRPr="00382D7E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December 2019 </w:t>
            </w:r>
            <w:r w:rsidRPr="00DE6768">
              <w:rPr>
                <w:rFonts w:asciiTheme="minorHAnsi" w:hAnsiTheme="minorHAnsi" w:cstheme="minorHAnsi"/>
              </w:rPr>
              <w:t xml:space="preserve">Pursuant to the Senate Order </w:t>
            </w:r>
            <w:r>
              <w:rPr>
                <w:rFonts w:asciiTheme="minorHAnsi" w:hAnsiTheme="minorHAnsi" w:cstheme="minorHAnsi"/>
              </w:rPr>
              <w:t>for</w:t>
            </w:r>
            <w:r w:rsidRPr="00DE6768">
              <w:rPr>
                <w:rFonts w:asciiTheme="minorHAnsi" w:hAnsiTheme="minorHAnsi" w:cstheme="minorHAnsi"/>
              </w:rPr>
              <w:t xml:space="preserve"> entity contracts the following table sets out contracts </w:t>
            </w:r>
            <w:proofErr w:type="gramStart"/>
            <w:r w:rsidRPr="00DE6768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DE6768">
              <w:rPr>
                <w:rFonts w:asciiTheme="minorHAnsi" w:hAnsiTheme="minorHAnsi" w:cstheme="minorHAnsi"/>
              </w:rPr>
              <w:t xml:space="preserve"> by </w:t>
            </w:r>
            <w:r>
              <w:rPr>
                <w:rFonts w:asciiTheme="minorHAnsi" w:hAnsiTheme="minorHAnsi" w:cstheme="minorHAnsi"/>
              </w:rPr>
              <w:t>Tiwi Land Council</w:t>
            </w:r>
            <w:r w:rsidRPr="00DE6768">
              <w:rPr>
                <w:rFonts w:asciiTheme="minorHAnsi" w:hAnsiTheme="minorHAnsi" w:cstheme="minorHAnsi"/>
              </w:rPr>
              <w:t xml:space="preserve"> which provide for a consideration to the value of $100,000 or more </w:t>
            </w:r>
            <w:r w:rsidRPr="00DE6768">
              <w:rPr>
                <w:rFonts w:asciiTheme="minorHAnsi" w:eastAsia="Times New Roman" w:hAnsiTheme="minorHAnsi" w:cstheme="minorHAnsi"/>
                <w:lang w:eastAsia="en-AU"/>
              </w:rPr>
              <w:t xml:space="preserve">(GST inclusive) </w:t>
            </w:r>
            <w:r w:rsidRPr="00DE6768">
              <w:rPr>
                <w:rFonts w:asciiTheme="minorHAnsi" w:hAnsiTheme="minorHAnsi" w:cstheme="minorHAnsi"/>
              </w:rPr>
              <w:t>and which:</w:t>
            </w:r>
          </w:p>
          <w:p w14:paraId="1378D476" w14:textId="77777777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have not been fully performed as at </w:t>
            </w:r>
            <w:r>
              <w:rPr>
                <w:rFonts w:asciiTheme="minorHAnsi" w:hAnsiTheme="minorHAnsi" w:cstheme="minorHAnsi"/>
              </w:rPr>
              <w:t>by 31</w:t>
            </w:r>
            <w:r w:rsidRPr="00542AC9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December 2019</w:t>
            </w:r>
            <w:r w:rsidRPr="00DE6768">
              <w:rPr>
                <w:rFonts w:asciiTheme="minorHAnsi" w:hAnsiTheme="minorHAnsi" w:cstheme="minorHAnsi"/>
              </w:rPr>
              <w:t>, or</w:t>
            </w:r>
          </w:p>
          <w:p w14:paraId="1D7B69DE" w14:textId="77777777" w:rsidR="00B50408" w:rsidRPr="00DE6768" w:rsidRDefault="00B50408" w:rsidP="009E71D4">
            <w:pPr>
              <w:pStyle w:val="Numberedpara1stindent"/>
              <w:spacing w:before="0" w:after="200" w:line="260" w:lineRule="atLeast"/>
              <w:ind w:left="993" w:hanging="360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which have been </w:t>
            </w:r>
            <w:proofErr w:type="gramStart"/>
            <w:r w:rsidRPr="00DE6768">
              <w:rPr>
                <w:rFonts w:asciiTheme="minorHAnsi" w:hAnsiTheme="minorHAnsi" w:cstheme="minorHAnsi"/>
              </w:rPr>
              <w:t>entered into</w:t>
            </w:r>
            <w:proofErr w:type="gramEnd"/>
            <w:r w:rsidRPr="00DE6768">
              <w:rPr>
                <w:rFonts w:asciiTheme="minorHAnsi" w:hAnsiTheme="minorHAnsi" w:cstheme="minorHAnsi"/>
              </w:rPr>
              <w:t xml:space="preserve"> during the 12 months prior to </w:t>
            </w:r>
            <w:r>
              <w:rPr>
                <w:rFonts w:asciiTheme="minorHAnsi" w:hAnsiTheme="minorHAnsi" w:cstheme="minorHAnsi"/>
              </w:rPr>
              <w:t>1</w:t>
            </w:r>
            <w:r w:rsidRPr="00542AC9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January 2019</w:t>
            </w:r>
            <w:r w:rsidRPr="00DE6768">
              <w:rPr>
                <w:rFonts w:asciiTheme="minorHAnsi" w:hAnsiTheme="minorHAnsi" w:cstheme="minorHAnsi"/>
              </w:rPr>
              <w:t>.</w:t>
            </w:r>
          </w:p>
          <w:p w14:paraId="22992990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Most of the contracts listed contain confidentiality provisions of a general nature that are designed to protect the confidential information of the parties that may be obtained or generated in carrying out the contract. </w:t>
            </w:r>
          </w:p>
          <w:p w14:paraId="68DC50D4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 xml:space="preserve">The reasons for including such clauses include: </w:t>
            </w:r>
          </w:p>
          <w:p w14:paraId="6715B4D9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ordinary commercial prudence that requires protection of trade secrets, proprietary information and the like; and/or</w:t>
            </w:r>
          </w:p>
          <w:p w14:paraId="46C7CEE2" w14:textId="77777777" w:rsidR="00B50408" w:rsidRPr="00DE6768" w:rsidRDefault="00B50408" w:rsidP="00B50408">
            <w:pPr>
              <w:pStyle w:val="Numberedpara1stindent"/>
              <w:numPr>
                <w:ilvl w:val="0"/>
                <w:numId w:val="2"/>
              </w:numPr>
              <w:spacing w:before="0" w:after="200" w:line="260" w:lineRule="atLeast"/>
              <w:ind w:left="993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protection of other Commonwealth material and personal information.</w:t>
            </w:r>
          </w:p>
          <w:p w14:paraId="7A589D13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accountable authority of Tiwi Land Council has assured that the listed contracts do not contain any inappropriate confidentiality provisions. </w:t>
            </w:r>
          </w:p>
          <w:p w14:paraId="348ECE1A" w14:textId="77777777" w:rsidR="00B50408" w:rsidRPr="00DE6768" w:rsidRDefault="00B50408" w:rsidP="009E71D4">
            <w:pPr>
              <w:spacing w:after="0"/>
              <w:rPr>
                <w:rFonts w:eastAsia="Times New Roman" w:cstheme="minorHAnsi"/>
                <w:b/>
                <w:bCs/>
                <w:lang w:eastAsia="en-AU"/>
              </w:rPr>
            </w:pPr>
            <w:r w:rsidRPr="00DE6768">
              <w:rPr>
                <w:rFonts w:eastAsia="Times New Roman" w:cstheme="minorHAnsi"/>
                <w:b/>
                <w:bCs/>
                <w:lang w:eastAsia="en-AU"/>
              </w:rPr>
              <w:t>Contract Details</w:t>
            </w:r>
          </w:p>
          <w:tbl>
            <w:tblPr>
              <w:tblStyle w:val="LightList-Accent11"/>
              <w:tblW w:w="88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6"/>
              <w:gridCol w:w="740"/>
              <w:gridCol w:w="1161"/>
              <w:gridCol w:w="892"/>
              <w:gridCol w:w="901"/>
              <w:gridCol w:w="1362"/>
              <w:gridCol w:w="740"/>
              <w:gridCol w:w="1336"/>
              <w:gridCol w:w="740"/>
            </w:tblGrid>
            <w:tr w:rsidR="00B50408" w:rsidRPr="00DE6768" w14:paraId="43B77424" w14:textId="77777777" w:rsidTr="009E71D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73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65857A02" w14:textId="77777777" w:rsidR="00B50408" w:rsidRPr="00542AC9" w:rsidRDefault="00B50408" w:rsidP="009E71D4">
                  <w:pPr>
                    <w:spacing w:after="0"/>
                    <w:jc w:val="center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Contractor </w:t>
                  </w:r>
                </w:p>
              </w:tc>
              <w:tc>
                <w:tcPr>
                  <w:tcW w:w="767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4CA69244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Subject matter </w:t>
                  </w:r>
                </w:p>
              </w:tc>
              <w:tc>
                <w:tcPr>
                  <w:tcW w:w="1204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2D4617FE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Amount of consideration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5132437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Start date</w:t>
                  </w: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A6153FA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>Anticipated end date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2DFA3B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provisions requiring the parties to maintain confidentiality of any of its provisions (Y/N) </w:t>
                  </w:r>
                </w:p>
              </w:tc>
              <w:tc>
                <w:tcPr>
                  <w:tcW w:w="768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58989419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70765D25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Whether contract contains other requirements of confidentiality (Y/N) </w:t>
                  </w:r>
                </w:p>
              </w:tc>
              <w:tc>
                <w:tcPr>
                  <w:tcW w:w="768" w:type="dxa"/>
                  <w:tcBorders>
                    <w:bottom w:val="single" w:sz="4" w:space="0" w:color="auto"/>
                  </w:tcBorders>
                  <w:shd w:val="clear" w:color="auto" w:fill="D5DCE4" w:themeFill="text2" w:themeFillTint="33"/>
                  <w:hideMark/>
                </w:tcPr>
                <w:p w14:paraId="07E05206" w14:textId="77777777" w:rsidR="00B50408" w:rsidRPr="00542AC9" w:rsidRDefault="00B50408" w:rsidP="009E71D4">
                  <w:pPr>
                    <w:spacing w:after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eastAsia="Times New Roman" w:cstheme="minorHAnsi"/>
                      <w:b w:val="0"/>
                      <w:bCs w:val="0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b w:val="0"/>
                      <w:color w:val="auto"/>
                      <w:sz w:val="14"/>
                      <w:szCs w:val="14"/>
                      <w:lang w:eastAsia="en-AU"/>
                    </w:rPr>
                    <w:t xml:space="preserve">Reason (s) </w:t>
                  </w:r>
                </w:p>
              </w:tc>
            </w:tr>
            <w:tr w:rsidR="00B50408" w:rsidRPr="00DE6768" w14:paraId="7C04A462" w14:textId="77777777" w:rsidTr="009E71D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0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FEF5940" w14:textId="77777777" w:rsidR="00B50408" w:rsidRPr="00542AC9" w:rsidRDefault="00B50408" w:rsidP="009E71D4">
                  <w:pPr>
                    <w:spacing w:after="0"/>
                    <w:jc w:val="center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Custom Works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C3FD3BA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Ranger Boat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7AA5A91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$260</w:t>
                  </w:r>
                  <w:r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,</w:t>
                  </w: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221.50</w:t>
                  </w:r>
                </w:p>
              </w:tc>
              <w:tc>
                <w:tcPr>
                  <w:tcW w:w="5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D6137E7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24/09/2019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5AA80D8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30/04/2020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391DB5E9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43D88482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hideMark/>
                </w:tcPr>
                <w:p w14:paraId="64605966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  <w:r w:rsidRPr="00542AC9"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  <w:t>N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F5286A7" w14:textId="77777777" w:rsidR="00B50408" w:rsidRPr="00542AC9" w:rsidRDefault="00B50408" w:rsidP="009E71D4">
                  <w:pPr>
                    <w:spacing w:after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eastAsia="Times New Roman" w:cstheme="minorHAnsi"/>
                      <w:sz w:val="14"/>
                      <w:szCs w:val="14"/>
                      <w:lang w:eastAsia="en-AU"/>
                    </w:rPr>
                  </w:pPr>
                </w:p>
              </w:tc>
            </w:tr>
          </w:tbl>
          <w:p w14:paraId="59233D22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</w:p>
          <w:p w14:paraId="37ED332B" w14:textId="77777777" w:rsidR="00B50408" w:rsidRPr="00DE6768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  <w:rPr>
                <w:rFonts w:asciiTheme="minorHAnsi" w:hAnsiTheme="minorHAnsi" w:cstheme="minorHAnsi"/>
              </w:rPr>
            </w:pPr>
            <w:r w:rsidRPr="00DE6768">
              <w:rPr>
                <w:rFonts w:asciiTheme="minorHAnsi" w:hAnsiTheme="minorHAnsi" w:cstheme="minorHAnsi"/>
              </w:rPr>
              <w:t>Estimated cost of complying with this Order:</w:t>
            </w:r>
          </w:p>
          <w:p w14:paraId="21D0CF17" w14:textId="77777777" w:rsidR="00B50408" w:rsidRPr="001678C2" w:rsidRDefault="00B50408" w:rsidP="009E71D4">
            <w:pPr>
              <w:pStyle w:val="Numberedpara1stindent"/>
              <w:numPr>
                <w:ilvl w:val="0"/>
                <w:numId w:val="0"/>
              </w:numPr>
              <w:spacing w:line="260" w:lineRule="atLeast"/>
            </w:pPr>
            <w:r w:rsidRPr="00DE6768">
              <w:rPr>
                <w:rFonts w:asciiTheme="minorHAnsi" w:hAnsiTheme="minorHAnsi" w:cstheme="minorHAnsi"/>
              </w:rPr>
              <w:t>Basis of method used to estimate the cost:</w:t>
            </w:r>
          </w:p>
        </w:tc>
        <w:bookmarkStart w:id="0" w:name="_GoBack"/>
        <w:bookmarkEnd w:id="0"/>
      </w:tr>
    </w:tbl>
    <w:p w14:paraId="58CF68F3" w14:textId="77777777" w:rsidR="00510398" w:rsidRDefault="00510398"/>
    <w:sectPr w:rsidR="00510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87AD9"/>
    <w:multiLevelType w:val="hybridMultilevel"/>
    <w:tmpl w:val="3C1A266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EC49A7"/>
    <w:multiLevelType w:val="hybridMultilevel"/>
    <w:tmpl w:val="EFC6007C"/>
    <w:lvl w:ilvl="0" w:tplc="93384DE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A7ACFB9C">
      <w:start w:val="1"/>
      <w:numFmt w:val="lowerLetter"/>
      <w:pStyle w:val="Numberedpara1stindent"/>
      <w:lvlText w:val="%2."/>
      <w:lvlJc w:val="left"/>
      <w:pPr>
        <w:ind w:left="1440" w:hanging="360"/>
      </w:pPr>
      <w:rPr>
        <w:rFonts w:hint="default"/>
      </w:rPr>
    </w:lvl>
    <w:lvl w:ilvl="2" w:tplc="FDDA3FAC">
      <w:start w:val="1"/>
      <w:numFmt w:val="bullet"/>
      <w:lvlText w:val="–"/>
      <w:lvlJc w:val="lef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DDE67586">
      <w:numFmt w:val="bullet"/>
      <w:lvlText w:val="-"/>
      <w:lvlJc w:val="left"/>
      <w:pPr>
        <w:ind w:left="3600" w:hanging="360"/>
      </w:pPr>
      <w:rPr>
        <w:rFonts w:ascii="Cambria" w:eastAsia="Times New Roman" w:hAnsi="Cambria" w:cs="Times New Roman" w:hint="default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08"/>
    <w:rsid w:val="00510398"/>
    <w:rsid w:val="00B50408"/>
    <w:rsid w:val="00F7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B7CEC"/>
  <w15:chartTrackingRefBased/>
  <w15:docId w15:val="{35332A2F-4387-4B3C-8989-29800C6C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0408"/>
    <w:pPr>
      <w:suppressAutoHyphens/>
      <w:spacing w:before="180" w:after="60" w:line="280" w:lineRule="atLeas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para1stindent">
    <w:name w:val="Numbered para (1st indent)"/>
    <w:basedOn w:val="ListParagraph"/>
    <w:rsid w:val="00B50408"/>
    <w:pPr>
      <w:numPr>
        <w:ilvl w:val="1"/>
      </w:numPr>
      <w:spacing w:before="120"/>
      <w:ind w:left="924" w:hanging="357"/>
    </w:pPr>
  </w:style>
  <w:style w:type="paragraph" w:styleId="ListParagraph">
    <w:name w:val="List Paragraph"/>
    <w:basedOn w:val="Normal"/>
    <w:uiPriority w:val="34"/>
    <w:qFormat/>
    <w:rsid w:val="00B50408"/>
    <w:pPr>
      <w:numPr>
        <w:numId w:val="1"/>
      </w:numPr>
      <w:suppressAutoHyphens w:val="0"/>
      <w:spacing w:before="200" w:after="0" w:line="260" w:lineRule="exact"/>
    </w:pPr>
    <w:rPr>
      <w:rFonts w:ascii="Cambria" w:eastAsia="Cambria" w:hAnsi="Cambria" w:cs="Times New Roman"/>
    </w:rPr>
  </w:style>
  <w:style w:type="table" w:customStyle="1" w:styleId="LightList-Accent11">
    <w:name w:val="Light List - Accent 11"/>
    <w:basedOn w:val="TableNormal"/>
    <w:uiPriority w:val="61"/>
    <w:rsid w:val="00B5040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Mayger - Tiwi Land Council</dc:creator>
  <cp:keywords/>
  <dc:description/>
  <cp:lastModifiedBy>Derek Mayger - Tiwi Land Council</cp:lastModifiedBy>
  <cp:revision>1</cp:revision>
  <dcterms:created xsi:type="dcterms:W3CDTF">2020-02-06T05:09:00Z</dcterms:created>
  <dcterms:modified xsi:type="dcterms:W3CDTF">2020-02-06T05:20:00Z</dcterms:modified>
</cp:coreProperties>
</file>